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2D" w:rsidRDefault="00834C2D" w:rsidP="00834C2D">
      <w:pPr>
        <w:widowControl/>
        <w:adjustRightInd w:val="0"/>
        <w:spacing w:line="360" w:lineRule="auto"/>
        <w:jc w:val="left"/>
        <w:outlineLvl w:val="0"/>
        <w:rPr>
          <w:rFonts w:ascii="Times New Roman" w:hAnsi="Times New Roman" w:cs="Times New Roman" w:hint="eastAsia"/>
          <w:b/>
          <w:bCs/>
          <w:color w:val="333333"/>
          <w:kern w:val="36"/>
          <w:sz w:val="32"/>
          <w:szCs w:val="32"/>
        </w:rPr>
      </w:pPr>
      <w:r w:rsidRPr="00834C2D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218F16" wp14:editId="5E7B298A">
            <wp:simplePos x="0" y="0"/>
            <wp:positionH relativeFrom="column">
              <wp:posOffset>3772535</wp:posOffset>
            </wp:positionH>
            <wp:positionV relativeFrom="paragraph">
              <wp:posOffset>246380</wp:posOffset>
            </wp:positionV>
            <wp:extent cx="1433195" cy="1773555"/>
            <wp:effectExtent l="0" t="0" r="0" b="0"/>
            <wp:wrapSquare wrapText="bothSides"/>
            <wp:docPr id="2215" name="图片 37" descr="张毅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图片 37" descr="张毅证件照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2D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t>张毅</w:t>
      </w:r>
    </w:p>
    <w:p w:rsidR="00834C2D" w:rsidRPr="00834C2D" w:rsidRDefault="00834C2D" w:rsidP="00834C2D">
      <w:pPr>
        <w:widowControl/>
        <w:adjustRightInd w:val="0"/>
        <w:spacing w:line="360" w:lineRule="auto"/>
        <w:ind w:right="1284"/>
        <w:jc w:val="right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1998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       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毕业于日本东京大学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获博士学位。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1998-2003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   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博士后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 University of Pennsylvania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2003-2007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 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研究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助理教授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,University of Pennsylvania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2007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      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助理教授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创建独立的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免疫学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研究室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                 University of Michigan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曾任苏州大学微生物和免疫学助教授、副教授（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1989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－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2000)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苏州市第二人民医院儿科医师和团总支书记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(1983-1986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，苏州市青年联合会委员（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1984-1994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），并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曾获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国务院特殊津贴科学家和江苏优秀青年教师奖。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现兼任复旦大学中山医院客座教授。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firstLine="45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免疫反应是人体抗感染和抗肿瘤的最基本作用之一。张毅教授所带领的科研团队，长期从事炎症免疫学和肿瘤免疫学的研究，并于近期发现了一组新型的表观遗传学调控分子，这些分子在调节免疫细胞反应中有极其重要的作用。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现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已建立了调控表观遗传学分子的遗传学及药理学方法。动物实验研究证明这些新方法可用于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治疗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各种炎症性疾病，如抑制移植免疫排斥反应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,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和慢性自身免疫炎症疾病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等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。另外，团队建立了可产生长效抗肿瘤免疫细胞的方法及培养试剂。相关技术已获美国专利（专利号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: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PCT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/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US2010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/039417)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。该技术专利可用于建立肿瘤免疫</w:t>
      </w:r>
      <w:r w:rsidRPr="00834C2D">
        <w:rPr>
          <w:rFonts w:ascii="Times New Roman" w:hAnsi="Times New Roman" w:cs="Times New Roman"/>
          <w:color w:val="000000"/>
          <w:kern w:val="0"/>
          <w:sz w:val="24"/>
          <w:szCs w:val="24"/>
        </w:rPr>
        <w:t>治疗的新方法。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</w:pPr>
      <w:bookmarkStart w:id="0" w:name="_GoBack"/>
      <w:r w:rsidRPr="00834C2D">
        <w:rPr>
          <w:rFonts w:ascii="Times New Roman" w:hAnsi="Times New Roman" w:cs="Times New Roman"/>
          <w:b/>
          <w:color w:val="333333"/>
          <w:kern w:val="0"/>
          <w:sz w:val="24"/>
          <w:szCs w:val="24"/>
        </w:rPr>
        <w:t>近五年代表性论文：</w:t>
      </w:r>
    </w:p>
    <w:bookmarkEnd w:id="0"/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1.He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Li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Tong Q, Mochizuki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Lapinski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PE, Mani RE, Reddy R, Izumi Mochizuki I,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Chinnaiyan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AM,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King PD,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. The histone methyltransferase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Ezh2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is a crucial epigenetic regulator of allogeneic T cell responses mediating graft-versus-host disease. Blood, 2013.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(IF=9.06)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2. He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Li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Tong Q, Mochizuki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Lapinski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PE, Mani RE, Reddy R, Izumi Mochizuki I,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Chinnaiyan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AM,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King PD,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. Histone methyltransferase and histone methylation in inflammatory T cell responses. Immunotherapy, 2013.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(IF=2.93)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 xml:space="preserve">3. Mochizuki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He S, Tong Q, Liu Y,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Guo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YJ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Kato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Yagita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H,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*. Delta-like Ligand 4 Identifies a Previously Uncharacterized Population of Inflammatory Dendritic Cells That Plays Important Roles in Eliciting Allogeneic T-cell Responses in Mice. Journal of Immunology, 2012(190): 3772-82.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(IF=5.52)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4. Singh L, Brennan TA, Kim JH, Egan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KP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McMillan EA, Chen Q,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Hankenson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KD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,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. Long-Term Functional Engraftment of Mesenchymal Progenitor Cells in a Mouse Model of Accelerated Aging. Stem Cells, 2012(31): 607-11.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(IF=4.67)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5. Wong G, Richardson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JS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Pillet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Patel A,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Qiu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X,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Alimonti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J, Hogan J,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Takada A,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Feldmann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H,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Kobinger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GP. </w:t>
      </w:r>
      <w:proofErr w:type="gram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Immune Parameters Correlating with 1 Protection against Ebola Virus Infection in Rodents and Nonhuman Primates.</w:t>
      </w:r>
      <w:proofErr w:type="gram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Science Translational Medicine, 2012(4): 146-58.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第八作者，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(IF=10.757)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6. He S, Wang J, Kato K,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Varambally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Xie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F,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Kuick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Liu Y, Nieves E, Mani R,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Chinnaiyan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AM, Marquez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VE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Inhibition of histone methylation arrests ongoing graft-versus-host disease in mice by selectively inducing apoptosis of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alloreactive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effector T cells. Blood, 2012(116): 1274-8.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(IF=9.06)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7. Mochizuki K, He S,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Notch and Inflammatory T </w:t>
      </w:r>
      <w:proofErr w:type="gram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Cell</w:t>
      </w:r>
      <w:proofErr w:type="gram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Response: New Developments and Challenges. Immunotherapy, 2011(11): 1353-66. 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(IF=2.393).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8. He S, Kato K, Jiang J, Wahl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DR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Fisher EM,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Murasko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DM, Glick GD and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Characterization of the metabolic phenotype of rapamycin-resistant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CD8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+ T cells with augmented ability to generate long-lasting memory cells.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PLoS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ONE, 2011(6): 1371.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(IF=3.73)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9. 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Sandy AR, Wang J, Shan GT,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Radojcic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V, Tran I, Friedman A, Kato K, He S, Cui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Hexner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E, Frank D, Emerson SG, Pear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WS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Maillard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I. Kato K, Cui S,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Kuick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R,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Mineishi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S, Notch signaling is a critical regulator of allogeneic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CD4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+ T 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>cell responses mediating graft-versus-host disease. Blood, 2011(117): 299.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第一作者，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(IF=9.06)</w:t>
      </w:r>
    </w:p>
    <w:p w:rsidR="00834C2D" w:rsidRPr="00834C2D" w:rsidRDefault="00834C2D" w:rsidP="00834C2D">
      <w:pPr>
        <w:widowControl/>
        <w:shd w:val="clear" w:color="auto" w:fill="FFFFFF"/>
        <w:adjustRightInd w:val="0"/>
        <w:spacing w:line="360" w:lineRule="auto"/>
        <w:ind w:left="270" w:hanging="270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10.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Hexner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E, Ferrara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JLM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, Emerson SG, </w:t>
      </w:r>
      <w:r w:rsidRPr="00834C2D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u w:val="single"/>
        </w:rPr>
        <w:t>Zhang Y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*. Identification of stem cell transcriptional programs normally expressed in embryonic and neural stem cells in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alloreactive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 </w:t>
      </w:r>
      <w:proofErr w:type="spellStart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CD8</w:t>
      </w:r>
      <w:proofErr w:type="spellEnd"/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+ T cells mediating graft-versus-host disease. Biology of Bone Marrow Transplantation , 2010(16): 751-71. 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通讯作者，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SCI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收录</w:t>
      </w:r>
      <w:r w:rsidRPr="00834C2D">
        <w:rPr>
          <w:rFonts w:ascii="Times New Roman" w:hAnsi="Times New Roman" w:cs="Times New Roman"/>
          <w:color w:val="333333"/>
          <w:kern w:val="0"/>
          <w:sz w:val="24"/>
          <w:szCs w:val="24"/>
        </w:rPr>
        <w:t> (IF=3.94)</w:t>
      </w:r>
    </w:p>
    <w:p w:rsidR="00E44C96" w:rsidRPr="00834C2D" w:rsidRDefault="00E44C96" w:rsidP="00834C2D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4C96" w:rsidRPr="0083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C"/>
    <w:rsid w:val="00834C2D"/>
    <w:rsid w:val="009D715C"/>
    <w:rsid w:val="00E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34C2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4C2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34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34C2D"/>
  </w:style>
  <w:style w:type="character" w:customStyle="1" w:styleId="artiupdate">
    <w:name w:val="arti_update"/>
    <w:basedOn w:val="a0"/>
    <w:rsid w:val="00834C2D"/>
  </w:style>
  <w:style w:type="character" w:customStyle="1" w:styleId="artiviews">
    <w:name w:val="arti_views"/>
    <w:basedOn w:val="a0"/>
    <w:rsid w:val="00834C2D"/>
  </w:style>
  <w:style w:type="character" w:customStyle="1" w:styleId="wpvisitcount">
    <w:name w:val="wp_visitcount"/>
    <w:basedOn w:val="a0"/>
    <w:rsid w:val="00834C2D"/>
  </w:style>
  <w:style w:type="paragraph" w:styleId="a3">
    <w:name w:val="Normal (Web)"/>
    <w:basedOn w:val="a"/>
    <w:uiPriority w:val="99"/>
    <w:semiHidden/>
    <w:unhideWhenUsed/>
    <w:rsid w:val="00834C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C2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34C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4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jxq</dc:creator>
  <cp:keywords/>
  <dc:description/>
  <cp:lastModifiedBy>jxq</cp:lastModifiedBy>
  <cp:revision>3</cp:revision>
  <dcterms:created xsi:type="dcterms:W3CDTF">2020-11-12T02:36:00Z</dcterms:created>
  <dcterms:modified xsi:type="dcterms:W3CDTF">2020-11-12T02:39:00Z</dcterms:modified>
</cp:coreProperties>
</file>